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B2807" w:rsidRDefault="00000000">
      <w:pPr>
        <w:widowControl w:val="0"/>
        <w:tabs>
          <w:tab w:val="right" w:pos="9639"/>
        </w:tabs>
        <w:rPr>
          <w:b/>
          <w:i/>
          <w:sz w:val="32"/>
          <w:szCs w:val="32"/>
        </w:rPr>
      </w:pPr>
      <w:bookmarkStart w:id="0" w:name="bookmark=id.30j0zll" w:colFirst="0" w:colLast="0"/>
      <w:bookmarkStart w:id="1" w:name="bookmark=id.gjdgxs" w:colFirst="0" w:colLast="0"/>
      <w:bookmarkEnd w:id="0"/>
      <w:bookmarkEnd w:id="1"/>
      <w:r>
        <w:rPr>
          <w:b/>
        </w:rPr>
        <w:t>3GPP TSG RAN meeting #101</w:t>
      </w:r>
      <w:r>
        <w:rPr>
          <w:b/>
        </w:rPr>
        <w:tab/>
      </w:r>
      <w:r>
        <w:rPr>
          <w:b/>
          <w:sz w:val="26"/>
          <w:szCs w:val="26"/>
        </w:rPr>
        <w:t>RP-231963</w:t>
      </w:r>
    </w:p>
    <w:p w14:paraId="00000002" w14:textId="77777777" w:rsidR="003B2807" w:rsidRDefault="00000000">
      <w:pPr>
        <w:widowControl w:val="0"/>
        <w:tabs>
          <w:tab w:val="right" w:pos="9639"/>
        </w:tabs>
        <w:rPr>
          <w:b/>
        </w:rPr>
      </w:pPr>
      <w:r>
        <w:rPr>
          <w:b/>
        </w:rPr>
        <w:t>Bangalore, India, Sept 11-15, 2023</w:t>
      </w:r>
    </w:p>
    <w:p w14:paraId="00000003" w14:textId="77777777" w:rsidR="003B2807" w:rsidRDefault="00000000">
      <w:pPr>
        <w:tabs>
          <w:tab w:val="left" w:pos="1701"/>
          <w:tab w:val="right" w:pos="9639"/>
        </w:tabs>
        <w:spacing w:line="288" w:lineRule="auto"/>
        <w:rPr>
          <w:b/>
        </w:rPr>
      </w:pPr>
      <w:r>
        <w:rPr>
          <w:b/>
        </w:rPr>
        <w:tab/>
      </w:r>
    </w:p>
    <w:p w14:paraId="00000004" w14:textId="77777777" w:rsidR="003B2807" w:rsidRDefault="00000000">
      <w:pPr>
        <w:tabs>
          <w:tab w:val="left" w:pos="1701"/>
          <w:tab w:val="right" w:pos="9639"/>
        </w:tabs>
        <w:spacing w:after="60" w:line="288" w:lineRule="auto"/>
        <w:rPr>
          <w:b/>
        </w:rPr>
      </w:pPr>
      <w:r>
        <w:rPr>
          <w:b/>
        </w:rPr>
        <w:t>Agenda Item:</w:t>
      </w:r>
      <w:r>
        <w:rPr>
          <w:b/>
        </w:rPr>
        <w:tab/>
        <w:t>8A.2.8</w:t>
      </w:r>
    </w:p>
    <w:p w14:paraId="00000005" w14:textId="77777777" w:rsidR="003B2807" w:rsidRDefault="00000000">
      <w:pPr>
        <w:tabs>
          <w:tab w:val="left" w:pos="1701"/>
          <w:tab w:val="right" w:pos="9639"/>
        </w:tabs>
        <w:spacing w:after="60" w:line="288" w:lineRule="auto"/>
        <w:rPr>
          <w:b/>
        </w:rPr>
      </w:pPr>
      <w:r>
        <w:rPr>
          <w:b/>
        </w:rPr>
        <w:t xml:space="preserve">Source: </w:t>
      </w:r>
      <w:r>
        <w:rPr>
          <w:b/>
        </w:rPr>
        <w:tab/>
        <w:t>Meta</w:t>
      </w:r>
    </w:p>
    <w:p w14:paraId="00000006" w14:textId="77777777" w:rsidR="003B2807" w:rsidRDefault="00000000">
      <w:pPr>
        <w:tabs>
          <w:tab w:val="left" w:pos="1701"/>
          <w:tab w:val="right" w:pos="9639"/>
        </w:tabs>
        <w:spacing w:after="60" w:line="288" w:lineRule="auto"/>
        <w:rPr>
          <w:b/>
        </w:rPr>
      </w:pPr>
      <w:r>
        <w:rPr>
          <w:b/>
        </w:rPr>
        <w:t xml:space="preserve">Title:  </w:t>
      </w:r>
      <w:r>
        <w:rPr>
          <w:b/>
        </w:rPr>
        <w:tab/>
        <w:t>Meta's Views on XR Evolution for Rel-19</w:t>
      </w:r>
    </w:p>
    <w:p w14:paraId="00000007" w14:textId="77777777" w:rsidR="003B2807" w:rsidRDefault="00000000">
      <w:pPr>
        <w:tabs>
          <w:tab w:val="left" w:pos="1701"/>
          <w:tab w:val="right" w:pos="9639"/>
        </w:tabs>
        <w:spacing w:after="60" w:line="288" w:lineRule="auto"/>
        <w:rPr>
          <w:b/>
        </w:rPr>
      </w:pPr>
      <w:r>
        <w:rPr>
          <w:b/>
        </w:rPr>
        <w:t>Document for:</w:t>
      </w:r>
      <w:r>
        <w:rPr>
          <w:b/>
        </w:rPr>
        <w:tab/>
        <w:t>Discussion and Decision</w:t>
      </w:r>
    </w:p>
    <w:p w14:paraId="00000008" w14:textId="77777777" w:rsidR="003B2807" w:rsidRDefault="0000000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/>
        <w:rPr>
          <w:sz w:val="30"/>
          <w:szCs w:val="30"/>
        </w:rPr>
      </w:pPr>
      <w:bookmarkStart w:id="2" w:name="_heading=h.1fob9te" w:colFirst="0" w:colLast="0"/>
      <w:bookmarkEnd w:id="2"/>
      <w:r>
        <w:rPr>
          <w:b/>
          <w:sz w:val="30"/>
          <w:szCs w:val="30"/>
        </w:rPr>
        <w:t>Introduction</w:t>
      </w:r>
    </w:p>
    <w:p w14:paraId="00000009" w14:textId="77777777" w:rsidR="003B2807" w:rsidRDefault="00000000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sz w:val="22"/>
          <w:szCs w:val="22"/>
        </w:rPr>
        <w:t>The metaverse is a virtual world that is accessible and interoperable across different platforms, devices, and experiences. It is built on top of existing technologies, but it goes beyond these technologies by providing a more immersive and interactive experience for users. In the metaverse, users can interact with each other and with digital content in real-time, creating a sense of presence and connection that is not possible in traditional online environments.</w:t>
      </w:r>
    </w:p>
    <w:p w14:paraId="0000000A" w14:textId="77777777" w:rsidR="003B2807" w:rsidRDefault="003B2807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</w:p>
    <w:p w14:paraId="0000000B" w14:textId="77777777" w:rsidR="003B2807" w:rsidRDefault="00000000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sz w:val="22"/>
          <w:szCs w:val="22"/>
        </w:rPr>
        <w:t>The metaverse includes several key components:</w:t>
      </w:r>
    </w:p>
    <w:p w14:paraId="0000000C" w14:textId="77777777" w:rsidR="003B2807" w:rsidRDefault="003B2807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</w:p>
    <w:p w14:paraId="0000000D" w14:textId="77777777" w:rsidR="003B28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>Interoperability: The metaverse should be accessible and interoperable across different platforms, devices, and experiences, allowing users to easily switch between different modes of interaction and engagement.</w:t>
      </w:r>
    </w:p>
    <w:p w14:paraId="0000000E" w14:textId="77777777" w:rsidR="003B28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>Immersiveness: The metaverse should provide a highly immersive and engaging experience for users, using advanced technologies such as virtual reality and augmented reality to create a sense of presence and connection.</w:t>
      </w:r>
    </w:p>
    <w:p w14:paraId="0000000F" w14:textId="77777777" w:rsidR="003B28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>Socialization: The metaverse should facilitate social interactions and connections between users, allowing them to build relationships and communities in new and innovative ways.</w:t>
      </w:r>
    </w:p>
    <w:p w14:paraId="00000010" w14:textId="77777777" w:rsidR="003B28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>Creativity: The metaverse should provide a platform for creators and developers to build and share their own digital content, fostering innovation and creativity in the virtual world.</w:t>
      </w:r>
    </w:p>
    <w:p w14:paraId="00000011" w14:textId="77777777" w:rsidR="003B2807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>Accessibility: The metaverse should be accessible to all users, regardless of their location or device, and should provide a range of tools and resources to support accessibility and inclusivity.</w:t>
      </w:r>
    </w:p>
    <w:p w14:paraId="00000012" w14:textId="77777777" w:rsidR="003B2807" w:rsidRDefault="003B2807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</w:p>
    <w:p w14:paraId="00000013" w14:textId="77777777" w:rsidR="003B2807" w:rsidRDefault="00000000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sz w:val="22"/>
          <w:szCs w:val="22"/>
        </w:rPr>
        <w:t>5G connectivity is a critical enabler for anywhere, anytime metaverse experiences because it provides the high data rate and low-latency network infrastructure that is necessary to support real-time, immersive virtual and augmented reality experiences. In addition, 5G connectivity also enables new use cases and applications in the metaverse, such as real-time collaboration and communication between users, as well as the integration of other technologies such as artificial intelligence and machine learning.</w:t>
      </w:r>
    </w:p>
    <w:p w14:paraId="00000014" w14:textId="77777777" w:rsidR="003B2807" w:rsidRDefault="003B2807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</w:p>
    <w:p w14:paraId="00000015" w14:textId="77777777" w:rsidR="003B2807" w:rsidRDefault="00000000">
      <w:pPr>
        <w:tabs>
          <w:tab w:val="center" w:pos="4536"/>
          <w:tab w:val="right" w:pos="9072"/>
          <w:tab w:val="left" w:pos="1800"/>
        </w:tabs>
        <w:rPr>
          <w:sz w:val="22"/>
          <w:szCs w:val="22"/>
        </w:rPr>
      </w:pPr>
      <w:r>
        <w:rPr>
          <w:sz w:val="22"/>
          <w:szCs w:val="22"/>
        </w:rPr>
        <w:t xml:space="preserve">In RAN plenary 98-e, the Rel-18 WI on XR was agreed and was further revised in RAN#99. Specifically, Rel-18 specified enhancements on power saving, capacity and XR awareness. To better accommodate emerging XR services, it is desirable that we consider XR evolution and </w:t>
      </w:r>
      <w:sdt>
        <w:sdtPr>
          <w:tag w:val="goog_rdk_0"/>
          <w:id w:val="-1679961461"/>
        </w:sdtPr>
        <w:sdtContent/>
      </w:sdt>
      <w:sdt>
        <w:sdtPr>
          <w:tag w:val="goog_rdk_1"/>
          <w:id w:val="-2091298865"/>
        </w:sdtPr>
        <w:sdtContent/>
      </w:sdt>
      <w:r>
        <w:rPr>
          <w:sz w:val="22"/>
          <w:szCs w:val="22"/>
        </w:rPr>
        <w:t>further enhancements in Rel-19 [3]. In the RAN Release 19 workshop held in June 2023, companies shared views on further XR enhancements in Rel-19 (see e.g., [4]-[13]). In this contribution, we provide our views on the evolution path and potential enhancements for XR in Rel-19.</w:t>
      </w:r>
    </w:p>
    <w:p w14:paraId="00000016" w14:textId="77777777" w:rsidR="003B2807" w:rsidRDefault="0000000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/>
        <w:rPr>
          <w:b/>
          <w:sz w:val="30"/>
          <w:szCs w:val="30"/>
        </w:rPr>
      </w:pPr>
      <w:bookmarkStart w:id="3" w:name="_heading=h.4d34og8" w:colFirst="0" w:colLast="0"/>
      <w:bookmarkEnd w:id="3"/>
      <w:r>
        <w:rPr>
          <w:b/>
          <w:sz w:val="30"/>
          <w:szCs w:val="30"/>
        </w:rPr>
        <w:lastRenderedPageBreak/>
        <w:t>XR Evolution and Potential Enhancements</w:t>
      </w:r>
    </w:p>
    <w:p w14:paraId="00000017" w14:textId="77777777" w:rsidR="003B2807" w:rsidRDefault="00000000">
      <w:pPr>
        <w:pStyle w:val="Heading3"/>
        <w:numPr>
          <w:ilvl w:val="1"/>
          <w:numId w:val="1"/>
        </w:numPr>
        <w:rPr>
          <w:color w:val="000000"/>
        </w:rPr>
      </w:pPr>
      <w:r>
        <w:rPr>
          <w:color w:val="000000"/>
        </w:rPr>
        <w:t>XR-Awareness at RAN</w:t>
      </w:r>
    </w:p>
    <w:p w14:paraId="00000018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>Multi-modal Data [1] is defined to describe the input data from different kinds of devices/sensors or the output data to different kinds of destinations (e.g., one or more UEs) required for the same task or application. Multi-modal Data consists of more than one Single-modal Data, and there is strong dependency among each Single-modal Data. Single-modal Data can be seen as one type of data. Rel-18 XR enhancements focus on Single-modal Data. However, XR traffic of emerging use cases is by nature multi-modal, as it involves the integration of data from multiple sources and modalities to create a seamless and immersive user experience. This includes data from various sensors, cameras, and other input devices, as well as output to different destinations such as displays or other XR interfaces.</w:t>
      </w:r>
    </w:p>
    <w:p w14:paraId="00000019" w14:textId="77777777" w:rsidR="003B2807" w:rsidRDefault="003B2807">
      <w:pPr>
        <w:rPr>
          <w:sz w:val="22"/>
          <w:szCs w:val="22"/>
        </w:rPr>
      </w:pPr>
    </w:p>
    <w:p w14:paraId="0000001A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1</w:t>
      </w:r>
      <w:r>
        <w:rPr>
          <w:sz w:val="22"/>
          <w:szCs w:val="22"/>
        </w:rPr>
        <w:t xml:space="preserve">: RAN2 works with SA2/SA4 to study multi-modal XR traffic and use case characteristics. </w:t>
      </w:r>
    </w:p>
    <w:p w14:paraId="0000001B" w14:textId="77777777" w:rsidR="003B2807" w:rsidRDefault="003B2807">
      <w:pPr>
        <w:rPr>
          <w:sz w:val="22"/>
          <w:szCs w:val="22"/>
        </w:rPr>
      </w:pPr>
    </w:p>
    <w:p w14:paraId="0000001C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2</w:t>
      </w:r>
      <w:r>
        <w:rPr>
          <w:sz w:val="22"/>
          <w:szCs w:val="22"/>
        </w:rPr>
        <w:t xml:space="preserve">: RAN2/RAN1 studies and specifies QoS enhancements for multi-modal XR traffic.  </w:t>
      </w:r>
    </w:p>
    <w:p w14:paraId="0000001D" w14:textId="77777777" w:rsidR="003B2807" w:rsidRDefault="003B2807">
      <w:pPr>
        <w:rPr>
          <w:sz w:val="22"/>
          <w:szCs w:val="22"/>
        </w:rPr>
      </w:pPr>
    </w:p>
    <w:p w14:paraId="0000001E" w14:textId="2B7718C1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PDU Set is one or more PDUs carrying the payload of one unit of information generated at the application level (e.g., frame(s) or video slice(s) </w:t>
      </w:r>
      <w:r w:rsidR="00BA30B8">
        <w:rPr>
          <w:sz w:val="22"/>
          <w:szCs w:val="22"/>
        </w:rPr>
        <w:t>etc.</w:t>
      </w:r>
      <w:r>
        <w:rPr>
          <w:sz w:val="22"/>
          <w:szCs w:val="22"/>
        </w:rPr>
        <w:t xml:space="preserve"> for XR Services), as defined in TS 23.501 [2]. In Rel-19, the framework of PDU Set can be further enhanced in the following areas: multi-modal XR traffic mapping, inter PDU set dependency and optimizations, discard operation, and XR traffic prioritization. </w:t>
      </w:r>
    </w:p>
    <w:p w14:paraId="0000001F" w14:textId="77777777" w:rsidR="003B2807" w:rsidRDefault="003B2807">
      <w:pPr>
        <w:rPr>
          <w:sz w:val="22"/>
          <w:szCs w:val="22"/>
        </w:rPr>
      </w:pPr>
    </w:p>
    <w:p w14:paraId="00000020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3</w:t>
      </w:r>
      <w:r>
        <w:rPr>
          <w:sz w:val="22"/>
          <w:szCs w:val="22"/>
        </w:rPr>
        <w:t>: RAN2 studies and specifies further enhancements of PDU set framework.</w:t>
      </w:r>
    </w:p>
    <w:p w14:paraId="00000021" w14:textId="77777777" w:rsidR="003B2807" w:rsidRDefault="00000000">
      <w:pPr>
        <w:pStyle w:val="Heading3"/>
        <w:numPr>
          <w:ilvl w:val="1"/>
          <w:numId w:val="1"/>
        </w:numPr>
        <w:rPr>
          <w:color w:val="000000"/>
        </w:rPr>
      </w:pPr>
      <w:r>
        <w:rPr>
          <w:color w:val="000000"/>
        </w:rPr>
        <w:t>Power Saving Enhancement</w:t>
      </w:r>
    </w:p>
    <w:p w14:paraId="00000022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Rel-18 focuses on C-DRX enhancement to solve non-integer XR traffic periodicities. Further enhancements to the C-DRX can be considered in Rel-19 to accommodate multi-modal XR traffic. For example, RAN2/RAN1 can study and specify mechanisms to support multiple active C-DRX configurations to better match multi-modal traffic patterns with different periodicities.  </w:t>
      </w:r>
    </w:p>
    <w:p w14:paraId="00000023" w14:textId="77777777" w:rsidR="003B2807" w:rsidRDefault="003B2807">
      <w:pPr>
        <w:rPr>
          <w:sz w:val="22"/>
          <w:szCs w:val="22"/>
        </w:rPr>
      </w:pPr>
    </w:p>
    <w:p w14:paraId="00000024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>Enhancements related to dynamic and adaptive PDCCH monitoring have not been specified in Rel-18 and can be another area of study in Rel-19, too.</w:t>
      </w:r>
    </w:p>
    <w:p w14:paraId="00000025" w14:textId="77777777" w:rsidR="003B2807" w:rsidRDefault="003B2807">
      <w:pPr>
        <w:rPr>
          <w:sz w:val="22"/>
          <w:szCs w:val="22"/>
        </w:rPr>
      </w:pPr>
    </w:p>
    <w:p w14:paraId="00000026" w14:textId="77777777" w:rsidR="003B2807" w:rsidRDefault="00000000">
      <w:pPr>
        <w:rPr>
          <w:sz w:val="22"/>
          <w:szCs w:val="22"/>
        </w:rPr>
      </w:pPr>
      <w:sdt>
        <w:sdtPr>
          <w:tag w:val="goog_rdk_2"/>
          <w:id w:val="196591905"/>
        </w:sdtPr>
        <w:sdtContent/>
      </w:sdt>
      <w:sdt>
        <w:sdtPr>
          <w:tag w:val="goog_rdk_3"/>
          <w:id w:val="1679998196"/>
        </w:sdtPr>
        <w:sdtContent/>
      </w:sdt>
      <w:r>
        <w:rPr>
          <w:b/>
          <w:sz w:val="22"/>
          <w:szCs w:val="22"/>
        </w:rPr>
        <w:t xml:space="preserve">Proposal 4: </w:t>
      </w:r>
      <w:r>
        <w:rPr>
          <w:sz w:val="22"/>
          <w:szCs w:val="22"/>
        </w:rPr>
        <w:t xml:space="preserve">RAN2/RAN1 studies the power impact of multi-modal XR traffic with existing C-DRX and PDCCH monitoring capabilities.   </w:t>
      </w:r>
    </w:p>
    <w:p w14:paraId="00000027" w14:textId="77777777" w:rsidR="003B2807" w:rsidRDefault="003B2807">
      <w:pPr>
        <w:rPr>
          <w:sz w:val="22"/>
          <w:szCs w:val="22"/>
        </w:rPr>
      </w:pPr>
    </w:p>
    <w:p w14:paraId="00000028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5</w:t>
      </w:r>
      <w:r>
        <w:rPr>
          <w:sz w:val="22"/>
          <w:szCs w:val="22"/>
        </w:rPr>
        <w:t xml:space="preserve">: RAN2/RAN1 studies and specifies C-DRX enhancements for power saving. </w:t>
      </w:r>
    </w:p>
    <w:p w14:paraId="00000029" w14:textId="77777777" w:rsidR="003B2807" w:rsidRDefault="003B2807">
      <w:pPr>
        <w:rPr>
          <w:sz w:val="22"/>
          <w:szCs w:val="22"/>
        </w:rPr>
      </w:pPr>
    </w:p>
    <w:p w14:paraId="0000002A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6</w:t>
      </w:r>
      <w:r>
        <w:rPr>
          <w:sz w:val="22"/>
          <w:szCs w:val="22"/>
        </w:rPr>
        <w:t xml:space="preserve">: RAN1/RAN2 studies and specifies PDCCH monitoring enhancements for power saving.  </w:t>
      </w:r>
    </w:p>
    <w:p w14:paraId="0000002B" w14:textId="77777777" w:rsidR="003B2807" w:rsidRDefault="00000000">
      <w:pPr>
        <w:pStyle w:val="Heading3"/>
        <w:numPr>
          <w:ilvl w:val="1"/>
          <w:numId w:val="1"/>
        </w:numPr>
        <w:rPr>
          <w:color w:val="000000"/>
        </w:rPr>
      </w:pPr>
      <w:r>
        <w:rPr>
          <w:color w:val="000000"/>
        </w:rPr>
        <w:t>Capacity Enhancement</w:t>
      </w:r>
    </w:p>
    <w:p w14:paraId="0000002C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Scheduling enhancements play a key role in system capacity performance. In Rel-19, scheduling enhancements for XR traffic can be studied and specified, such as dynamic grant scheduling, configured grant enhancement, delay-aware and prioritized scheduling. </w:t>
      </w:r>
    </w:p>
    <w:p w14:paraId="0000002D" w14:textId="77777777" w:rsidR="003B2807" w:rsidRDefault="003B2807">
      <w:pPr>
        <w:rPr>
          <w:sz w:val="22"/>
          <w:szCs w:val="22"/>
        </w:rPr>
      </w:pPr>
    </w:p>
    <w:p w14:paraId="0000002E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7</w:t>
      </w:r>
      <w:r>
        <w:rPr>
          <w:sz w:val="22"/>
          <w:szCs w:val="22"/>
        </w:rPr>
        <w:t xml:space="preserve">: RAN2/RAN1 studies and specifies scheduling enhancements to improve XR traffic system capacity. </w:t>
      </w:r>
    </w:p>
    <w:p w14:paraId="0000002F" w14:textId="77777777" w:rsidR="003B2807" w:rsidRDefault="003B2807">
      <w:pPr>
        <w:rPr>
          <w:sz w:val="22"/>
          <w:szCs w:val="22"/>
        </w:rPr>
      </w:pPr>
    </w:p>
    <w:p w14:paraId="00000030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Carrier Aggregation (CA) technique allows for more efficient use of the available spectrum and can provide higher data rates, lower latency, and improved coverage. Rel-18 focuses on single-carrier transmission of XR traffic and potential enhancements on CA can be studied to improve system capacity. </w:t>
      </w:r>
    </w:p>
    <w:p w14:paraId="00000031" w14:textId="77777777" w:rsidR="003B2807" w:rsidRDefault="003B2807">
      <w:pPr>
        <w:rPr>
          <w:sz w:val="22"/>
          <w:szCs w:val="22"/>
        </w:rPr>
      </w:pPr>
    </w:p>
    <w:p w14:paraId="00000032" w14:textId="77777777" w:rsidR="003B2807" w:rsidRDefault="00000000">
      <w:pPr>
        <w:rPr>
          <w:sz w:val="22"/>
          <w:szCs w:val="22"/>
        </w:rPr>
      </w:pPr>
      <w:sdt>
        <w:sdtPr>
          <w:tag w:val="goog_rdk_4"/>
          <w:id w:val="1425768666"/>
        </w:sdtPr>
        <w:sdtContent/>
      </w:sdt>
      <w:sdt>
        <w:sdtPr>
          <w:tag w:val="goog_rdk_5"/>
          <w:id w:val="-1936813615"/>
        </w:sdtPr>
        <w:sdtContent/>
      </w:sdt>
      <w:r>
        <w:rPr>
          <w:b/>
          <w:sz w:val="22"/>
          <w:szCs w:val="22"/>
        </w:rPr>
        <w:t>Proposal 8</w:t>
      </w:r>
      <w:r>
        <w:rPr>
          <w:sz w:val="22"/>
          <w:szCs w:val="22"/>
        </w:rPr>
        <w:t xml:space="preserve">: RAN1/RAN2 studies and specifies CA enhancements to improve XR system capacity. </w:t>
      </w:r>
    </w:p>
    <w:p w14:paraId="00000033" w14:textId="77777777" w:rsidR="003B2807" w:rsidRDefault="00000000">
      <w:pPr>
        <w:pStyle w:val="Heading3"/>
        <w:numPr>
          <w:ilvl w:val="1"/>
          <w:numId w:val="1"/>
        </w:numPr>
        <w:rPr>
          <w:color w:val="000000"/>
        </w:rPr>
      </w:pPr>
      <w:r>
        <w:rPr>
          <w:color w:val="000000"/>
        </w:rPr>
        <w:t>Latency Enhancement</w:t>
      </w:r>
    </w:p>
    <w:p w14:paraId="00000034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>XR applications have strict latency requirements, as they require real-time processing and rendering of data to create an immersive user experience. Any delay or lag in the system can result in a poor user experience, leading to a loss of immersion and a decrease in overall satisfaction with the application. Therefore, it is crucial for XR systems to have low latency to ensure a seamless and responsive user experience.</w:t>
      </w:r>
    </w:p>
    <w:p w14:paraId="00000035" w14:textId="77777777" w:rsidR="003B2807" w:rsidRDefault="003B2807">
      <w:pPr>
        <w:rPr>
          <w:sz w:val="22"/>
          <w:szCs w:val="22"/>
        </w:rPr>
      </w:pPr>
    </w:p>
    <w:p w14:paraId="00000036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In Rel-19, latency reduction techniques and approaches can be studied and specified. Some potential areas include retransmission-less protocol design at the application and transport layers and improvements of the reliability of retransmission-less protocol at L2 and L1, and enhancement to the packet delay budget (PDB) and Rel-18 introduced PDU set delay budget (PSDB). </w:t>
      </w:r>
    </w:p>
    <w:p w14:paraId="00000037" w14:textId="77777777" w:rsidR="003B2807" w:rsidRDefault="003B2807">
      <w:pPr>
        <w:rPr>
          <w:sz w:val="22"/>
          <w:szCs w:val="22"/>
        </w:rPr>
      </w:pPr>
    </w:p>
    <w:p w14:paraId="00000038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9</w:t>
      </w:r>
      <w:r>
        <w:rPr>
          <w:sz w:val="22"/>
          <w:szCs w:val="22"/>
        </w:rPr>
        <w:t xml:space="preserve">: RAN2/RAN1 studies and specifies latency reduction enhancements to improve XR latency performance and QoS. </w:t>
      </w:r>
    </w:p>
    <w:p w14:paraId="00000039" w14:textId="77777777" w:rsidR="003B2807" w:rsidRDefault="00000000">
      <w:pPr>
        <w:pStyle w:val="Heading3"/>
        <w:numPr>
          <w:ilvl w:val="1"/>
          <w:numId w:val="1"/>
        </w:numPr>
        <w:rPr>
          <w:color w:val="000000"/>
        </w:rPr>
      </w:pPr>
      <w:r>
        <w:rPr>
          <w:color w:val="000000"/>
        </w:rPr>
        <w:t>RAN-Awareness at XR Applications</w:t>
      </w:r>
    </w:p>
    <w:p w14:paraId="0000003A" w14:textId="77777777" w:rsidR="003B2807" w:rsidRDefault="00000000">
      <w:pPr>
        <w:rPr>
          <w:color w:val="050505"/>
          <w:sz w:val="22"/>
          <w:szCs w:val="22"/>
        </w:rPr>
      </w:pPr>
      <w:r>
        <w:rPr>
          <w:color w:val="050505"/>
          <w:sz w:val="22"/>
          <w:szCs w:val="22"/>
        </w:rPr>
        <w:t xml:space="preserve">It is important for XR applications to have RAN-awareness, as the RAN has knowledge of wireless system conditions, cell loads, network congestion, etc. By being aware of these factors, XR applications can adapt their rate and performance to ensure a high-quality user experience. This can include optimizing data rates and latency, implementing efficient application layer forward error correction (FEC), and balancing computation power and transmission power. </w:t>
      </w:r>
    </w:p>
    <w:p w14:paraId="0000003B" w14:textId="77777777" w:rsidR="003B2807" w:rsidRDefault="003B2807">
      <w:pPr>
        <w:rPr>
          <w:color w:val="050505"/>
          <w:sz w:val="22"/>
          <w:szCs w:val="22"/>
        </w:rPr>
      </w:pPr>
    </w:p>
    <w:p w14:paraId="0000003C" w14:textId="77777777" w:rsidR="003B2807" w:rsidRDefault="00000000">
      <w:pPr>
        <w:rPr>
          <w:sz w:val="22"/>
          <w:szCs w:val="22"/>
        </w:rPr>
      </w:pPr>
      <w:sdt>
        <w:sdtPr>
          <w:tag w:val="goog_rdk_6"/>
          <w:id w:val="-587613821"/>
        </w:sdtPr>
        <w:sdtContent/>
      </w:sdt>
      <w:sdt>
        <w:sdtPr>
          <w:tag w:val="goog_rdk_7"/>
          <w:id w:val="1032081243"/>
        </w:sdtPr>
        <w:sdtContent/>
      </w:sdt>
      <w:r>
        <w:rPr>
          <w:b/>
          <w:sz w:val="22"/>
          <w:szCs w:val="22"/>
        </w:rPr>
        <w:t>Proposal 10</w:t>
      </w:r>
      <w:r>
        <w:rPr>
          <w:sz w:val="22"/>
          <w:szCs w:val="22"/>
        </w:rPr>
        <w:t xml:space="preserve">: RAN2 works with SA2/SA4 to explore the framework to enable RAN-awareness at XR applications.  </w:t>
      </w:r>
    </w:p>
    <w:p w14:paraId="0000003D" w14:textId="77777777" w:rsidR="003B2807" w:rsidRDefault="0000000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Conclusion </w:t>
      </w:r>
    </w:p>
    <w:p w14:paraId="0000003E" w14:textId="4FE8B0A8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>In summary, Rel-18 serves as the baseline of XR enhancements. In Rel-19, further enhancements and XR evolution can be studied. The first area of enhancement is to build on Rel-18 and continue to further enhance the XR-awareness, power saving and capacity performance. The second area is to extend the single-modal XR studies to multi-modal XR traffic flows</w:t>
      </w:r>
      <w:r w:rsidR="00BA30B8">
        <w:rPr>
          <w:sz w:val="22"/>
          <w:szCs w:val="22"/>
        </w:rPr>
        <w:t xml:space="preserve"> and study the relevant enhancements</w:t>
      </w:r>
      <w:r>
        <w:rPr>
          <w:sz w:val="22"/>
          <w:szCs w:val="22"/>
        </w:rPr>
        <w:t xml:space="preserve">. The third area is to study new enhancements </w:t>
      </w:r>
      <w:r w:rsidR="00BA30B8">
        <w:rPr>
          <w:sz w:val="22"/>
          <w:szCs w:val="22"/>
        </w:rPr>
        <w:t>in</w:t>
      </w:r>
      <w:r>
        <w:rPr>
          <w:sz w:val="22"/>
          <w:szCs w:val="22"/>
        </w:rPr>
        <w:t xml:space="preserve"> latency reduction and RAN-awareness. </w:t>
      </w:r>
    </w:p>
    <w:p w14:paraId="0000003F" w14:textId="77777777" w:rsidR="003B2807" w:rsidRDefault="003B2807">
      <w:pPr>
        <w:rPr>
          <w:sz w:val="22"/>
          <w:szCs w:val="22"/>
        </w:rPr>
      </w:pPr>
    </w:p>
    <w:p w14:paraId="00000040" w14:textId="77777777" w:rsidR="003B2807" w:rsidRDefault="00000000">
      <w:pPr>
        <w:rPr>
          <w:sz w:val="22"/>
          <w:szCs w:val="22"/>
        </w:rPr>
      </w:pPr>
      <w:r>
        <w:rPr>
          <w:sz w:val="22"/>
          <w:szCs w:val="22"/>
        </w:rPr>
        <w:t>The potential enhancements are listed below:</w:t>
      </w:r>
    </w:p>
    <w:p w14:paraId="00000041" w14:textId="77777777" w:rsidR="003B2807" w:rsidRDefault="003B2807">
      <w:pPr>
        <w:rPr>
          <w:sz w:val="22"/>
          <w:szCs w:val="22"/>
        </w:rPr>
      </w:pPr>
    </w:p>
    <w:p w14:paraId="00000042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1</w:t>
      </w:r>
      <w:r>
        <w:rPr>
          <w:sz w:val="22"/>
          <w:szCs w:val="22"/>
        </w:rPr>
        <w:t xml:space="preserve">: RAN2 works with SA2/SA4 to study multi-modal XR traffic and use case characteristics. </w:t>
      </w:r>
    </w:p>
    <w:p w14:paraId="00000043" w14:textId="77777777" w:rsidR="003B2807" w:rsidRDefault="003B2807">
      <w:pPr>
        <w:rPr>
          <w:sz w:val="22"/>
          <w:szCs w:val="22"/>
        </w:rPr>
      </w:pPr>
    </w:p>
    <w:p w14:paraId="00000044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2</w:t>
      </w:r>
      <w:r>
        <w:rPr>
          <w:sz w:val="22"/>
          <w:szCs w:val="22"/>
        </w:rPr>
        <w:t xml:space="preserve">: RAN2/RAN1 studies and specifies QoS enhancements for multi-modal XR traffic.  </w:t>
      </w:r>
    </w:p>
    <w:p w14:paraId="00000045" w14:textId="77777777" w:rsidR="003B2807" w:rsidRDefault="003B2807">
      <w:pPr>
        <w:rPr>
          <w:sz w:val="22"/>
          <w:szCs w:val="22"/>
        </w:rPr>
      </w:pPr>
    </w:p>
    <w:p w14:paraId="00000046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3</w:t>
      </w:r>
      <w:r>
        <w:rPr>
          <w:sz w:val="22"/>
          <w:szCs w:val="22"/>
        </w:rPr>
        <w:t>: RAN2 studies and specifies further enhancements of PDU set framework.</w:t>
      </w:r>
    </w:p>
    <w:p w14:paraId="00000047" w14:textId="77777777" w:rsidR="003B2807" w:rsidRDefault="003B2807">
      <w:pPr>
        <w:rPr>
          <w:sz w:val="22"/>
          <w:szCs w:val="22"/>
        </w:rPr>
      </w:pPr>
    </w:p>
    <w:p w14:paraId="00000048" w14:textId="77777777" w:rsidR="003B2807" w:rsidRDefault="00000000">
      <w:pPr>
        <w:rPr>
          <w:sz w:val="22"/>
          <w:szCs w:val="22"/>
        </w:rPr>
      </w:pPr>
      <w:sdt>
        <w:sdtPr>
          <w:tag w:val="goog_rdk_8"/>
          <w:id w:val="-381400993"/>
        </w:sdtPr>
        <w:sdtContent/>
      </w:sdt>
      <w:sdt>
        <w:sdtPr>
          <w:tag w:val="goog_rdk_9"/>
          <w:id w:val="-1057704817"/>
        </w:sdtPr>
        <w:sdtContent/>
      </w:sdt>
      <w:r>
        <w:rPr>
          <w:b/>
          <w:sz w:val="22"/>
          <w:szCs w:val="22"/>
        </w:rPr>
        <w:t xml:space="preserve">Proposal 4: </w:t>
      </w:r>
      <w:r>
        <w:rPr>
          <w:sz w:val="22"/>
          <w:szCs w:val="22"/>
        </w:rPr>
        <w:t xml:space="preserve">RAN2/RAN1 studies the power impact of multi-modal XR traffic with existing C-DRX and PDCCH monitoring capabilities.   </w:t>
      </w:r>
    </w:p>
    <w:p w14:paraId="00000049" w14:textId="77777777" w:rsidR="003B2807" w:rsidRDefault="003B2807">
      <w:pPr>
        <w:rPr>
          <w:b/>
          <w:sz w:val="22"/>
          <w:szCs w:val="22"/>
        </w:rPr>
      </w:pPr>
    </w:p>
    <w:p w14:paraId="0000004A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5</w:t>
      </w:r>
      <w:r>
        <w:rPr>
          <w:sz w:val="22"/>
          <w:szCs w:val="22"/>
        </w:rPr>
        <w:t xml:space="preserve">: RAN2/RAN1 studies and specifies C-DRX enhancements for power saving. </w:t>
      </w:r>
    </w:p>
    <w:p w14:paraId="0000004B" w14:textId="77777777" w:rsidR="003B2807" w:rsidRDefault="003B2807">
      <w:pPr>
        <w:rPr>
          <w:sz w:val="22"/>
          <w:szCs w:val="22"/>
        </w:rPr>
      </w:pPr>
    </w:p>
    <w:p w14:paraId="0000004C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6</w:t>
      </w:r>
      <w:r>
        <w:rPr>
          <w:sz w:val="22"/>
          <w:szCs w:val="22"/>
        </w:rPr>
        <w:t xml:space="preserve">: RAN1/RAN2 studies and specifies PDCCH monitoring enhancements for power saving.  </w:t>
      </w:r>
    </w:p>
    <w:p w14:paraId="0000004D" w14:textId="77777777" w:rsidR="003B2807" w:rsidRDefault="003B2807">
      <w:pPr>
        <w:rPr>
          <w:sz w:val="22"/>
          <w:szCs w:val="22"/>
        </w:rPr>
      </w:pPr>
    </w:p>
    <w:p w14:paraId="0000004E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7</w:t>
      </w:r>
      <w:r>
        <w:rPr>
          <w:sz w:val="22"/>
          <w:szCs w:val="22"/>
        </w:rPr>
        <w:t xml:space="preserve">: RAN2/RAN1 studies and specifies scheduling enhancements to improve XR traffic system capacity. </w:t>
      </w:r>
    </w:p>
    <w:p w14:paraId="0000004F" w14:textId="77777777" w:rsidR="003B2807" w:rsidRDefault="003B2807">
      <w:pPr>
        <w:rPr>
          <w:sz w:val="22"/>
          <w:szCs w:val="22"/>
        </w:rPr>
      </w:pPr>
    </w:p>
    <w:p w14:paraId="00000050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8</w:t>
      </w:r>
      <w:r>
        <w:rPr>
          <w:sz w:val="22"/>
          <w:szCs w:val="22"/>
        </w:rPr>
        <w:t xml:space="preserve">: RAN1/RAN2 studies and specifies CA enhancements to improve XR system capacity. </w:t>
      </w:r>
    </w:p>
    <w:p w14:paraId="00000051" w14:textId="77777777" w:rsidR="003B2807" w:rsidRDefault="003B2807">
      <w:pPr>
        <w:rPr>
          <w:sz w:val="22"/>
          <w:szCs w:val="22"/>
        </w:rPr>
      </w:pPr>
    </w:p>
    <w:p w14:paraId="00000052" w14:textId="77777777" w:rsidR="003B2807" w:rsidRDefault="00000000">
      <w:pPr>
        <w:rPr>
          <w:color w:val="050505"/>
          <w:sz w:val="22"/>
          <w:szCs w:val="22"/>
        </w:rPr>
      </w:pPr>
      <w:r>
        <w:rPr>
          <w:b/>
          <w:sz w:val="22"/>
          <w:szCs w:val="22"/>
        </w:rPr>
        <w:t>Proposal 9</w:t>
      </w:r>
      <w:r>
        <w:rPr>
          <w:sz w:val="22"/>
          <w:szCs w:val="22"/>
        </w:rPr>
        <w:t xml:space="preserve">: RAN2/RAN1 studies and specifies latency reduction enhancements to improve XR latency performance and QoS. </w:t>
      </w:r>
    </w:p>
    <w:p w14:paraId="00000053" w14:textId="77777777" w:rsidR="003B2807" w:rsidRDefault="003B2807">
      <w:pPr>
        <w:rPr>
          <w:color w:val="050505"/>
          <w:sz w:val="22"/>
          <w:szCs w:val="22"/>
        </w:rPr>
      </w:pPr>
    </w:p>
    <w:p w14:paraId="00000054" w14:textId="77777777" w:rsidR="003B2807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>Proposal 10</w:t>
      </w:r>
      <w:r>
        <w:rPr>
          <w:sz w:val="22"/>
          <w:szCs w:val="22"/>
        </w:rPr>
        <w:t xml:space="preserve">: RAN2 works with SA2/SA4 to explore the framework to enable RAN-awareness at XR applications.  </w:t>
      </w:r>
    </w:p>
    <w:p w14:paraId="00000055" w14:textId="77777777" w:rsidR="003B2807" w:rsidRDefault="003B2807">
      <w:pPr>
        <w:rPr>
          <w:b/>
        </w:rPr>
      </w:pPr>
    </w:p>
    <w:bookmarkStart w:id="4" w:name="_heading=h.2et92p0" w:colFirst="0" w:colLast="0"/>
    <w:bookmarkEnd w:id="4"/>
    <w:p w14:paraId="00000056" w14:textId="77777777" w:rsidR="003B2807" w:rsidRDefault="00000000">
      <w:pPr>
        <w:pStyle w:val="Heading1"/>
        <w:numPr>
          <w:ilvl w:val="0"/>
          <w:numId w:val="1"/>
        </w:numPr>
        <w:pBdr>
          <w:top w:val="single" w:sz="12" w:space="3" w:color="000000"/>
        </w:pBdr>
        <w:spacing w:before="240" w:after="180"/>
        <w:rPr>
          <w:b/>
          <w:sz w:val="30"/>
          <w:szCs w:val="30"/>
        </w:rPr>
      </w:pPr>
      <w:sdt>
        <w:sdtPr>
          <w:tag w:val="goog_rdk_10"/>
          <w:id w:val="619956337"/>
        </w:sdtPr>
        <w:sdtContent/>
      </w:sdt>
      <w:sdt>
        <w:sdtPr>
          <w:tag w:val="goog_rdk_11"/>
          <w:id w:val="-81533741"/>
        </w:sdtPr>
        <w:sdtContent/>
      </w:sdt>
      <w:r>
        <w:rPr>
          <w:b/>
          <w:sz w:val="30"/>
          <w:szCs w:val="30"/>
        </w:rPr>
        <w:t>References</w:t>
      </w:r>
    </w:p>
    <w:p w14:paraId="00000057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[1] 3GPP TR 22.847, "Study on supporting tactile and multi-modality communication services</w:t>
      </w:r>
      <w:proofErr w:type="gramStart"/>
      <w:r>
        <w:rPr>
          <w:sz w:val="20"/>
          <w:szCs w:val="20"/>
        </w:rPr>
        <w:t>"..</w:t>
      </w:r>
      <w:proofErr w:type="gramEnd"/>
    </w:p>
    <w:p w14:paraId="00000058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[2] 3GPP TS 23.501, "System Architecture for the 5G System; Stage 2".</w:t>
      </w:r>
    </w:p>
    <w:p w14:paraId="00000059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[3] RWS-230488, "RAN Chair’s Summary of RAN REL-18 workshop", RAN Chair (Qualcomm), June 2023.</w:t>
      </w:r>
    </w:p>
    <w:p w14:paraId="0000005A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[4] RWS-230191, "Meta's Views on XR and Metaverse for Rel.19", Meta USA, June 2023.</w:t>
      </w:r>
    </w:p>
    <w:p w14:paraId="0000005B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 xml:space="preserve">[5] RWS-230163, "Discussion on Rel-19 XR enhancements", Ericsson, June 2023. </w:t>
      </w:r>
    </w:p>
    <w:p w14:paraId="0000005C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[6] RWS-230374, " Considerations on Rel-19 XR", CATT, June 2023</w:t>
      </w:r>
    </w:p>
    <w:p w14:paraId="0000005D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[7] RWS-230481, " Views on XR for Rel-19", InterDigital, June 2023</w:t>
      </w:r>
    </w:p>
    <w:p w14:paraId="0000005E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[8] RWS-230021, " XR Enhancements", Nokia, June 2023</w:t>
      </w:r>
      <w:r>
        <w:rPr>
          <w:sz w:val="20"/>
          <w:szCs w:val="20"/>
        </w:rPr>
        <w:tab/>
      </w:r>
    </w:p>
    <w:p w14:paraId="0000005F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 xml:space="preserve">[9] RWS-230177, " XR and Metaverse, Qualcomm", June 2023. </w:t>
      </w:r>
    </w:p>
    <w:p w14:paraId="00000060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[10] RWS-230466, " Views on Rel-19 XR Enhancements", Apple, June 2023</w:t>
      </w:r>
    </w:p>
    <w:p w14:paraId="00000061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[11] RWS-230222, " XR Enhancements in Rel-19", Samsung, June 2023</w:t>
      </w:r>
    </w:p>
    <w:p w14:paraId="00000062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[12] RWS-230068, " Views on further XR enhancements in Rel-19", vivo, June 2023</w:t>
      </w:r>
    </w:p>
    <w:p w14:paraId="00000063" w14:textId="77777777" w:rsidR="003B2807" w:rsidRDefault="00000000">
      <w:pPr>
        <w:rPr>
          <w:sz w:val="20"/>
          <w:szCs w:val="20"/>
        </w:rPr>
      </w:pPr>
      <w:r>
        <w:rPr>
          <w:sz w:val="20"/>
          <w:szCs w:val="20"/>
        </w:rPr>
        <w:t>[13] RWS-230125, " [RAN2-led] Further XR Enhancements, MediaTek", June 2023</w:t>
      </w:r>
    </w:p>
    <w:sectPr w:rsidR="003B28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45B91"/>
    <w:multiLevelType w:val="multilevel"/>
    <w:tmpl w:val="3356CBFE"/>
    <w:lvl w:ilvl="0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CC5EEF"/>
    <w:multiLevelType w:val="multilevel"/>
    <w:tmpl w:val="A4748FDE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F495F7F"/>
    <w:multiLevelType w:val="multilevel"/>
    <w:tmpl w:val="1678370C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76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439639209">
    <w:abstractNumId w:val="2"/>
  </w:num>
  <w:num w:numId="2" w16cid:durableId="464590544">
    <w:abstractNumId w:val="1"/>
  </w:num>
  <w:num w:numId="3" w16cid:durableId="988749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807"/>
    <w:rsid w:val="000D1043"/>
    <w:rsid w:val="003B2807"/>
    <w:rsid w:val="00BA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E923B"/>
  <w15:docId w15:val="{A3DF3512-2E29-45D2-B3B4-E2539B693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7E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B14D5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EB14D5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b/>
      <w:sz w:val="20"/>
      <w:szCs w:val="20"/>
      <w:lang w:val="en-GB" w:eastAsia="ja-JP"/>
    </w:rPr>
  </w:style>
  <w:style w:type="paragraph" w:customStyle="1" w:styleId="CRCoverPage">
    <w:name w:val="CR Cover Page"/>
    <w:rsid w:val="000E0404"/>
    <w:pPr>
      <w:spacing w:after="120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0iGq3FWVE07aFIcUM04xDhadFw==">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1497</Words>
  <Characters>8537</Characters>
  <Application>Microsoft Office Word</Application>
  <DocSecurity>0</DocSecurity>
  <Lines>71</Lines>
  <Paragraphs>20</Paragraphs>
  <ScaleCrop>false</ScaleCrop>
  <Company/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liwenyu@meta.com</dc:creator>
  <cp:lastModifiedBy>Grace Yu</cp:lastModifiedBy>
  <cp:revision>3</cp:revision>
  <dcterms:created xsi:type="dcterms:W3CDTF">2023-09-01T16:59:00Z</dcterms:created>
  <dcterms:modified xsi:type="dcterms:W3CDTF">2023-09-04T18:14:00Z</dcterms:modified>
</cp:coreProperties>
</file>